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rFonts w:ascii="Century Gothic" w:eastAsia="Century Gothic" w:hAnsi="Century Gothic" w:cs="Century Gothic"/>
          <w:b/>
          <w:bCs/>
          <w:sz w:val="48"/>
          <w:szCs w:val="48"/>
        </w:rPr>
        <w:t>Devil Wilds™</w:t>
      </w:r>
    </w:p>
    <w:p>
      <w:pPr>
        <w:spacing w:before="280" w:after="280"/>
        <w:rPr>
          <w:sz w:val="23"/>
          <w:szCs w:val="23"/>
        </w:rPr>
      </w:pPr>
      <w:r>
        <w:rPr>
          <w:rFonts w:ascii="Century Gothic" w:eastAsia="Century Gothic" w:hAnsi="Century Gothic" w:cs="Century Gothic"/>
          <w:b/>
          <w:bCs/>
          <w:sz w:val="23"/>
          <w:szCs w:val="23"/>
        </w:rPr>
        <w:t>Tragaperras de 5 ruedas y 40 líneas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iniciar el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JUGAR</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de entrada.</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 TOTAL</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elegir la apuesta total.</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apuesta total muestra cuánto se está apostando en total en un giro.</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hacer girar los carretes con la apuesta actual.</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Línea de premio solo se pagará la mejor combinación ganadora, mientras que las ganancias simultáneas en Líneas de premio distintas se acumularán.</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Todos los premios que aparecen en la tabla de premios dependen de la apuesta actual.</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AUTO JUEGO</w:t>
      </w:r>
      <w:r>
        <w:rPr>
          <w:rFonts w:ascii="Century Gothic" w:eastAsia="Century Gothic" w:hAnsi="Century Gothic" w:cs="Century Gothic"/>
          <w:sz w:val="23"/>
          <w:szCs w:val="23"/>
        </w:rPr>
        <w:t> </w:t>
      </w:r>
      <w:r>
        <w:rPr>
          <w:rFonts w:ascii="Century Gothic" w:eastAsia="Century Gothic" w:hAnsi="Century Gothic" w:cs="Century Gothic"/>
          <w:sz w:val="23"/>
          <w:szCs w:val="23"/>
        </w:rPr>
        <w:t>y después seleccione el número de giros que se jugarán automáticamente.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podrá ver el número de giros restantes.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siguiente giro.</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desplazarse por la tabla de premios, pulse los botones flecha.</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tabla de premios y volver al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SALIR</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activas están representadas por líneas que aparecen sobre las carretes como muestra la tabla de premios.</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solo pueden darse en líneas de premio activas.</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combinaciones ganadoras deben empezar por el carrete de más a la izquierda y el mismo símbolo debe estar en cada carrete consecutivo.</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Comodín puede sustituir a cualquier otro símbolo (salvo a los símbolos Scatter) para crear la mejor combinación ganadora posible.</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 Comodín pueden aparecer en cualquier posición de los carretes.</w:t>
      </w:r>
    </w:p>
    <w:p>
      <w:pPr>
        <w:numPr>
          <w:ilvl w:val="0"/>
          <w:numId w:val="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También hay un un premio diferente si hay 3 o más símbolos comodín en una línea de premio activa, como aparece en la Tabla de premios. Es lo que se pagará en lugar del premio habitual para dichos símbolos, pero solo si la cantidad ganada con los Comodín es mayor que la ganada habitualmente por los símbolos (a los que reemplaza el Comodín).</w:t>
      </w:r>
    </w:p>
    <w:p>
      <w:pPr>
        <w:spacing w:before="280" w:after="280"/>
        <w:rPr>
          <w:sz w:val="23"/>
          <w:szCs w:val="23"/>
        </w:rPr>
      </w:pPr>
      <w:r>
        <w:rPr>
          <w:rFonts w:ascii="Century Gothic" w:eastAsia="Century Gothic" w:hAnsi="Century Gothic" w:cs="Century Gothic"/>
          <w:b/>
          <w:bCs/>
          <w:sz w:val="23"/>
          <w:szCs w:val="23"/>
        </w:rPr>
        <w:t>Partidas gratis:</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 más símbolos Scatter a la vista activan 10 Partidas Gratis:</w:t>
      </w:r>
    </w:p>
    <w:p>
      <w:pPr>
        <w:numPr>
          <w:ilvl w:val="1"/>
          <w:numId w:val="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3x símbolos Scatter - 10 Partidas Gratis con 30 símbolos Comodín.</w:t>
      </w:r>
    </w:p>
    <w:p>
      <w:pPr>
        <w:numPr>
          <w:ilvl w:val="1"/>
          <w:numId w:val="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4x símbolos Scatter - 10 Partidas Gratis con 40 símbolos Comodín.</w:t>
      </w:r>
    </w:p>
    <w:p>
      <w:pPr>
        <w:numPr>
          <w:ilvl w:val="1"/>
          <w:numId w:val="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5x símbolos Scatter - 10 Partidas Gratis con 50 símbolos Comodín.</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comienzo de las Partidas Gratis el jugador recibe una reserva de símbolos Comodín.</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 0 a 20 símbolos Comodín pueden aparecen en posiciones aleatorias de los carretes en cualquier giro, hasta que se hayan usado todos los símbolos Comodín.</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Partidas Gratis siempre usarán todos los símbolos Comodín de la reserva.</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giro final de las Partidas Gratis siempre usará todos los símbolos Comodín restantes en la reserva.</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Partidas Gratis no pueden reactivarse durante las Partidas Gratis.</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 Giro Inferno no se puede activar durante las Partidas Gratis.</w:t>
      </w:r>
    </w:p>
    <w:p>
      <w:pPr>
        <w:spacing w:before="280" w:after="280"/>
        <w:rPr>
          <w:sz w:val="23"/>
          <w:szCs w:val="23"/>
        </w:rPr>
      </w:pPr>
      <w:r>
        <w:rPr>
          <w:rFonts w:ascii="Century Gothic" w:eastAsia="Century Gothic" w:hAnsi="Century Gothic" w:cs="Century Gothic"/>
          <w:b/>
          <w:bCs/>
          <w:sz w:val="23"/>
          <w:szCs w:val="23"/>
        </w:rPr>
        <w:t>Función Giro Inferno:</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cualquier giro del juego principal se pueden añadir símbolos Comodín a los carretes.</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una función Giro Inferno, de 2 a 20 símbolos Comodín aparecerán en posiciones aleatorias de los carretes.</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Giro Inferno no se pueden activar las Partidas Gratis.</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94.50%.</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ver el resultado de su ronda anterior tras reiniciar sesión en el portal, pulse el icono del historial de juego en la barra de herramientas inferior.</w:t>
      </w:r>
    </w:p>
    <w:p>
      <w:pPr>
        <w:spacing w:before="280" w:after="280"/>
        <w:rPr>
          <w:sz w:val="23"/>
          <w:szCs w:val="23"/>
        </w:rPr>
      </w:pPr>
      <w:r>
        <w:rPr>
          <w:rFonts w:ascii="Century Gothic" w:eastAsia="Century Gothic" w:hAnsi="Century Gothic" w:cs="Century Gothic"/>
          <w:b/>
          <w:bCs/>
          <w:sz w:val="23"/>
          <w:szCs w:val="23"/>
        </w:rPr>
        <w:t>Las fallos de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anulan todos los premios y jugadas.</w:t>
      </w:r>
    </w:p>
    <w:p>
      <w:pPr>
        <w:spacing w:before="280" w:after="280"/>
        <w:rPr>
          <w:sz w:val="23"/>
          <w:szCs w:val="23"/>
        </w:rPr>
      </w:pPr>
      <w:r>
        <w:rPr>
          <w:rFonts w:ascii="Century Gothic" w:eastAsia="Century Gothic" w:hAnsi="Century Gothic" w:cs="Century Gothic"/>
          <w:b/>
          <w:bCs/>
          <w:sz w:val="23"/>
          <w:szCs w:val="23"/>
        </w:rPr>
        <w:t>Gran premio traducciones:</w:t>
      </w:r>
    </w:p>
    <w:tbl>
      <w:tblPr>
        <w:tblCellMar>
          <w:top w:w="0" w:type="dxa"/>
          <w:left w:w="0" w:type="dxa"/>
          <w:bottom w:w="0" w:type="dxa"/>
          <w:right w:w="0" w:type="dxa"/>
        </w:tblCellMar>
      </w:tblPr>
      <w:tblGrid>
        <w:gridCol w:w="2487"/>
        <w:gridCol w:w="3182"/>
      </w:tblGrid>
      <w:tr>
        <w:tblPrEx>
          <w:tblCellMar>
            <w:top w:w="0" w:type="dxa"/>
            <w:left w:w="0" w:type="dxa"/>
            <w:bottom w:w="0" w:type="dxa"/>
            <w:right w:w="0" w:type="dxa"/>
          </w:tblCellMar>
        </w:tblPrEx>
        <w:trPr>
          <w:tblHeader/>
        </w:trPr>
        <w:tc>
          <w:tcPr>
            <w:shd w:val="clear" w:color="auto" w:fill="272727"/>
            <w:noWrap w:val="0"/>
            <w:tcMar>
              <w:top w:w="0" w:type="dxa"/>
              <w:left w:w="125" w:type="dxa"/>
              <w:bottom w:w="0" w:type="dxa"/>
              <w:right w:w="125"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bCs/>
                <w:i w:val="0"/>
                <w:iCs w:val="0"/>
                <w:smallCaps w:val="0"/>
                <w:color w:val="000000"/>
              </w:rPr>
              <w:t>En el juego</w:t>
            </w:r>
          </w:p>
        </w:tc>
        <w:tc>
          <w:tcPr>
            <w:shd w:val="clear" w:color="auto" w:fill="272727"/>
            <w:noWrap w:val="0"/>
            <w:tcMar>
              <w:top w:w="0" w:type="dxa"/>
              <w:left w:w="125" w:type="dxa"/>
              <w:bottom w:w="0" w:type="dxa"/>
              <w:right w:w="125"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bCs/>
                <w:i w:val="0"/>
                <w:iCs w:val="0"/>
                <w:smallCaps w:val="0"/>
                <w:color w:val="000000"/>
              </w:rPr>
              <w:t>Traducción</w:t>
            </w:r>
          </w:p>
        </w:tc>
      </w:tr>
      <w:tr>
        <w:tblPrEx>
          <w:tblCellMar>
            <w:top w:w="0" w:type="dxa"/>
            <w:left w:w="0" w:type="dxa"/>
            <w:bottom w:w="0" w:type="dxa"/>
            <w:right w:w="0" w:type="dxa"/>
          </w:tblCellMar>
        </w:tblPrEx>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BIG WIN</w:t>
            </w:r>
          </w:p>
        </w:tc>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GRAN PREMIO</w:t>
            </w:r>
          </w:p>
        </w:tc>
      </w:tr>
      <w:tr>
        <w:tblPrEx>
          <w:tblCellMar>
            <w:top w:w="0" w:type="dxa"/>
            <w:left w:w="0" w:type="dxa"/>
            <w:bottom w:w="0" w:type="dxa"/>
            <w:right w:w="0" w:type="dxa"/>
          </w:tblCellMar>
        </w:tblPrEx>
        <w:tc>
          <w:tcPr>
            <w:shd w:val="clear" w:color="auto" w:fill="353535"/>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FIERY WIN</w:t>
            </w:r>
          </w:p>
        </w:tc>
        <w:tc>
          <w:tcPr>
            <w:shd w:val="clear" w:color="auto" w:fill="353535"/>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PREMIO FOGOSO</w:t>
            </w:r>
          </w:p>
        </w:tc>
      </w:tr>
      <w:tr>
        <w:tblPrEx>
          <w:tblCellMar>
            <w:top w:w="0" w:type="dxa"/>
            <w:left w:w="0" w:type="dxa"/>
            <w:bottom w:w="0" w:type="dxa"/>
            <w:right w:w="0" w:type="dxa"/>
          </w:tblCellMar>
        </w:tblPrEx>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BURNING WIN</w:t>
            </w:r>
          </w:p>
        </w:tc>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PREMIO ARDIENTE</w:t>
            </w:r>
          </w:p>
        </w:tc>
      </w:tr>
      <w:tr>
        <w:tblPrEx>
          <w:tblCellMar>
            <w:top w:w="0" w:type="dxa"/>
            <w:left w:w="0" w:type="dxa"/>
            <w:bottom w:w="0" w:type="dxa"/>
            <w:right w:w="0" w:type="dxa"/>
          </w:tblCellMar>
        </w:tblPrEx>
        <w:tc>
          <w:tcPr>
            <w:shd w:val="clear" w:color="auto" w:fill="353535"/>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DEVILISH WIN</w:t>
            </w:r>
          </w:p>
        </w:tc>
        <w:tc>
          <w:tcPr>
            <w:shd w:val="clear" w:color="auto" w:fill="353535"/>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PREMIO DIABÓLICO</w:t>
            </w:r>
          </w:p>
        </w:tc>
      </w:tr>
      <w:tr>
        <w:tblPrEx>
          <w:tblCellMar>
            <w:top w:w="0" w:type="dxa"/>
            <w:left w:w="0" w:type="dxa"/>
            <w:bottom w:w="0" w:type="dxa"/>
            <w:right w:w="0" w:type="dxa"/>
          </w:tblCellMar>
        </w:tblPrEx>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SATANIC WIN</w:t>
            </w:r>
          </w:p>
        </w:tc>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PREMIO SATÁNICO</w:t>
            </w:r>
          </w:p>
        </w:tc>
      </w:tr>
      <w:tr>
        <w:tblPrEx>
          <w:tblCellMar>
            <w:top w:w="0" w:type="dxa"/>
            <w:left w:w="0" w:type="dxa"/>
            <w:bottom w:w="0" w:type="dxa"/>
            <w:right w:w="0" w:type="dxa"/>
          </w:tblCellMar>
        </w:tblPrEx>
        <w:tc>
          <w:tcPr>
            <w:shd w:val="clear" w:color="auto" w:fill="353535"/>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HELLFIRE WIN</w:t>
            </w:r>
          </w:p>
        </w:tc>
        <w:tc>
          <w:tcPr>
            <w:shd w:val="clear" w:color="auto" w:fill="353535"/>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PREMIO INFERNAL</w:t>
            </w:r>
          </w:p>
        </w:tc>
      </w:tr>
      <w:tr>
        <w:tblPrEx>
          <w:tblCellMar>
            <w:top w:w="0" w:type="dxa"/>
            <w:left w:w="0" w:type="dxa"/>
            <w:bottom w:w="0" w:type="dxa"/>
            <w:right w:w="0" w:type="dxa"/>
          </w:tblCellMar>
        </w:tblPrEx>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GARGANTUAN WIN</w:t>
            </w:r>
          </w:p>
        </w:tc>
        <w:tc>
          <w:tcPr>
            <w:shd w:val="clear" w:color="auto" w:fill="272727"/>
            <w:noWrap w:val="0"/>
            <w:tcMar>
              <w:top w:w="0" w:type="dxa"/>
              <w:left w:w="125" w:type="dxa"/>
              <w:bottom w:w="0" w:type="dxa"/>
              <w:right w:w="125" w:type="dxa"/>
            </w:tcMar>
            <w:vAlign w:val="center"/>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PREMIO GARGANTUESCO</w:t>
            </w:r>
          </w:p>
        </w:tc>
      </w:tr>
    </w:tbl>
    <w:p>
      <w:pPr>
        <w:spacing w:before="0" w:after="0"/>
        <w:jc w:val="right"/>
        <w:rPr>
          <w:sz w:val="18"/>
          <w:szCs w:val="18"/>
        </w:rPr>
      </w:pPr>
      <w:r>
        <w:rPr>
          <w:rFonts w:ascii="Century Gothic" w:eastAsia="Century Gothic" w:hAnsi="Century Gothic" w:cs="Century Gothic"/>
          <w:caps/>
          <w:sz w:val="18"/>
          <w:szCs w:val="18"/>
        </w:rPr>
        <w:t>ACTUALIZADO EL:27/4/2023</w:t>
      </w:r>
    </w:p>
    <w:p>
      <w:pPr>
        <w:spacing w:before="0" w:after="0"/>
        <w:rPr>
          <w:rFonts w:ascii="Calibri" w:eastAsia="Calibri" w:hAnsi="Calibri" w:cs="Calibri"/>
          <w:sz w:val="24"/>
          <w:szCs w:val="24"/>
        </w:rPr>
      </w:pPr>
    </w:p>
    <w:p>
      <w:pPr>
        <w:spacing w:before="280" w:after="280"/>
        <w:rPr>
          <w:sz w:val="48"/>
          <w:szCs w:val="48"/>
        </w:rPr>
      </w:pPr>
      <w:r>
        <w:rPr>
          <w:rFonts w:ascii="Century Gothic" w:eastAsia="Century Gothic" w:hAnsi="Century Gothic" w:cs="Century Gothic"/>
          <w:b/>
          <w:bCs/>
          <w:sz w:val="48"/>
          <w:szCs w:val="48"/>
        </w:rPr>
        <w:t>Devil Wilds™</w:t>
      </w:r>
    </w:p>
    <w:p>
      <w:pPr>
        <w:spacing w:before="280" w:after="280"/>
        <w:rPr>
          <w:sz w:val="23"/>
          <w:szCs w:val="23"/>
        </w:rPr>
      </w:pPr>
      <w:r>
        <w:rPr>
          <w:rFonts w:ascii="Century Gothic" w:eastAsia="Century Gothic" w:hAnsi="Century Gothic" w:cs="Century Gothic"/>
          <w:b/>
          <w:bCs/>
          <w:sz w:val="23"/>
          <w:szCs w:val="23"/>
        </w:rPr>
        <w:t>5-reel 40-line slot</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the entry screen,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PLAY</w:t>
      </w:r>
      <w:r>
        <w:rPr>
          <w:rFonts w:ascii="Century Gothic" w:eastAsia="Century Gothic" w:hAnsi="Century Gothic" w:cs="Century Gothic"/>
          <w:sz w:val="23"/>
          <w:szCs w:val="23"/>
        </w:rPr>
        <w:t> </w:t>
      </w:r>
      <w:r>
        <w:rPr>
          <w:rFonts w:ascii="Century Gothic" w:eastAsia="Century Gothic" w:hAnsi="Century Gothic" w:cs="Century Gothic"/>
          <w:sz w:val="23"/>
          <w:szCs w:val="23"/>
        </w:rPr>
        <w:t>to start the game.</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TOTAL BET</w:t>
      </w:r>
      <w:r>
        <w:rPr>
          <w:rFonts w:ascii="Century Gothic" w:eastAsia="Century Gothic" w:hAnsi="Century Gothic" w:cs="Century Gothic"/>
          <w:sz w:val="23"/>
          <w:szCs w:val="23"/>
        </w:rPr>
        <w:t> </w:t>
      </w:r>
      <w:r>
        <w:rPr>
          <w:rFonts w:ascii="Century Gothic" w:eastAsia="Century Gothic" w:hAnsi="Century Gothic" w:cs="Century Gothic"/>
          <w:sz w:val="23"/>
          <w:szCs w:val="23"/>
        </w:rPr>
        <w:t>to choose the total bet.</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total bet shows how much is being bet in total on a single spin.</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to spin the reels with the current bet.</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 given payline, only the highest winning combination pays while simultaneous winnings on different paylines are accumulated.</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 wins shown in the paytable are relative to the current bet.</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AUTOPLAY</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and then select the number of spins to be played automatically.</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are displayed.</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navigate the paytable, press the arrow buttons.</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paytable and return to the game,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EXIT</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Active paylines are represented by lines that appear over the reels as illustrated in the paytable.</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can only form on active paylines.</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Winning combinations must start from the leftmost reel, and the same symbol has to be on every consecutive reel.</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1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Wild symbol can stand for any other symbol, except the scatter symbols, to make the best possible winning combination.</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Wild symbols can appear on every position of the reels.</w:t>
      </w:r>
    </w:p>
    <w:p>
      <w:pPr>
        <w:numPr>
          <w:ilvl w:val="0"/>
          <w:numId w:val="1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also a separate payout for 3 or more Wild symbols on an active payline, as seen in the paytable. This is paid out instead of the regular symbol win if the win amount from Wilds is larger than the win from the regular symbols (by Wild standing in).</w:t>
      </w:r>
    </w:p>
    <w:p>
      <w:pPr>
        <w:spacing w:before="280" w:after="280"/>
        <w:rPr>
          <w:sz w:val="23"/>
          <w:szCs w:val="23"/>
        </w:rPr>
      </w:pPr>
      <w:r>
        <w:rPr>
          <w:rFonts w:ascii="Century Gothic" w:eastAsia="Century Gothic" w:hAnsi="Century Gothic" w:cs="Century Gothic"/>
          <w:b/>
          <w:bCs/>
          <w:sz w:val="23"/>
          <w:szCs w:val="23"/>
        </w:rPr>
        <w:t>Free Games:</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 Scatter symbols in view awards 10 Free Games:</w:t>
      </w:r>
    </w:p>
    <w:p>
      <w:pPr>
        <w:numPr>
          <w:ilvl w:val="1"/>
          <w:numId w:val="1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3x Scatter symbol - 10 Free Games with 30 Wilds.</w:t>
      </w:r>
    </w:p>
    <w:p>
      <w:pPr>
        <w:numPr>
          <w:ilvl w:val="1"/>
          <w:numId w:val="1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4x Scatter symbol - 10 Free Games with 40 Wilds.</w:t>
      </w:r>
    </w:p>
    <w:p>
      <w:pPr>
        <w:numPr>
          <w:ilvl w:val="1"/>
          <w:numId w:val="1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5x Scatter symbol - 10 Free Games with 50 Wilds.</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start of Free Games the player is awarded a pool of Wilds.</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Between 0 and 20 Wild symbols can stamp onto random positions on the reels on any spin until all Wilds have been used.</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Free Games will always use all Wild symbols from the pool.</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final spin of Free Games will always use all remaining Wilds left in the pool.</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Free Games cannot be retriggered during Free Games.</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Inferno Spin feature cannot trigger during Free Games.</w:t>
      </w:r>
    </w:p>
    <w:p>
      <w:pPr>
        <w:spacing w:before="280" w:after="280"/>
        <w:rPr>
          <w:sz w:val="23"/>
          <w:szCs w:val="23"/>
        </w:rPr>
      </w:pPr>
      <w:r>
        <w:rPr>
          <w:rFonts w:ascii="Century Gothic" w:eastAsia="Century Gothic" w:hAnsi="Century Gothic" w:cs="Century Gothic"/>
          <w:b/>
          <w:bCs/>
          <w:sz w:val="23"/>
          <w:szCs w:val="23"/>
        </w:rPr>
        <w:t>Inferno Spin Feature:</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any spin during the base game, Wilds may be added to the reels.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an Inferno Spin feature, between 2 and 20 Wild symbols will stamp onto random positions on the reels.</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Free Games cannot be won during Inferno Spin feature.</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94.50%.</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2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2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2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see the outcome of your previous round after you log back into the portal, press the game history icon on the bottom toolbar.</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UPDATED ON:4/27/2023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