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E0" w:rsidRDefault="002F5DE0" w:rsidP="00BA0C5D">
      <w:pPr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b/>
          <w:bCs/>
          <w:color w:val="FFFFFF"/>
          <w:kern w:val="36"/>
          <w:sz w:val="45"/>
          <w:szCs w:val="45"/>
        </w:rPr>
      </w:pPr>
      <w:r w:rsidRPr="002F5DE0">
        <w:rPr>
          <w:rFonts w:ascii="Calibri" w:eastAsia="Times New Roman" w:hAnsi="Calibri" w:cs="Calibri"/>
          <w:b/>
          <w:bCs/>
          <w:color w:val="FFFFFF"/>
          <w:kern w:val="36"/>
          <w:sz w:val="45"/>
          <w:szCs w:val="45"/>
        </w:rPr>
        <w:t>S</w:t>
      </w:r>
      <w:r w:rsidR="00761D82">
        <w:rPr>
          <w:rFonts w:ascii="Calibri" w:eastAsia="Times New Roman" w:hAnsi="Calibri" w:cs="Calibri"/>
          <w:b/>
          <w:bCs/>
          <w:noProof/>
          <w:color w:val="FFFFFF"/>
          <w:kern w:val="36"/>
          <w:sz w:val="45"/>
          <w:szCs w:val="45"/>
        </w:rPr>
        <w:drawing>
          <wp:inline distT="0" distB="0" distL="0" distR="0">
            <wp:extent cx="3600000" cy="142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4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3F" w:rsidRDefault="00BA0C5D" w:rsidP="00C2285A">
      <w:pPr>
        <w:spacing w:before="100" w:beforeAutospacing="1" w:after="100" w:afterAutospacing="1"/>
        <w:jc w:val="center"/>
        <w:outlineLvl w:val="0"/>
        <w:rPr>
          <w:rFonts w:ascii="Calibri" w:eastAsia="Times New Roman" w:hAnsi="Calibri" w:cs="Calibri"/>
          <w:b/>
          <w:bCs/>
          <w:color w:val="FFFFFF"/>
          <w:kern w:val="36"/>
          <w:sz w:val="45"/>
          <w:szCs w:val="45"/>
        </w:rPr>
      </w:pPr>
      <w:r>
        <w:rPr>
          <w:rFonts w:ascii="Calibri" w:eastAsia="Times New Roman" w:hAnsi="Calibri" w:cs="Calibri"/>
          <w:b/>
          <w:bCs/>
          <w:noProof/>
          <w:color w:val="FFFFFF"/>
          <w:kern w:val="36"/>
          <w:sz w:val="45"/>
          <w:szCs w:val="45"/>
        </w:rPr>
        <w:drawing>
          <wp:inline distT="0" distB="0" distL="0" distR="0">
            <wp:extent cx="2160000" cy="11124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cr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6" t="49940" r="18676"/>
                    <a:stretch/>
                  </pic:blipFill>
                  <pic:spPr bwMode="auto">
                    <a:xfrm>
                      <a:off x="0" y="0"/>
                      <a:ext cx="2160000" cy="1112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06A6" w:rsidRPr="007506A6" w:rsidRDefault="007506A6" w:rsidP="007506A6">
      <w:pPr>
        <w:spacing w:before="100" w:beforeAutospacing="1" w:after="100" w:afterAutospacing="1"/>
        <w:outlineLvl w:val="0"/>
        <w:rPr>
          <w:rFonts w:ascii="Myriad Bold" w:eastAsia="Times New Roman" w:hAnsi="Myriad Bold" w:cs="Times New Roman"/>
          <w:b/>
          <w:bCs/>
          <w:color w:val="FFFFFF"/>
          <w:kern w:val="36"/>
          <w:sz w:val="45"/>
          <w:szCs w:val="45"/>
        </w:rPr>
      </w:pPr>
      <w:r w:rsidRPr="007506A6">
        <w:rPr>
          <w:rFonts w:ascii="Myriad Bold" w:eastAsia="Times New Roman" w:hAnsi="Myriad Bold" w:cs="Times New Roman"/>
          <w:b/>
          <w:bCs/>
          <w:color w:val="FFFFFF"/>
          <w:kern w:val="36"/>
          <w:sz w:val="45"/>
          <w:szCs w:val="45"/>
        </w:rPr>
        <w:t>Spartacus Super Colossal Reels</w:t>
      </w:r>
    </w:p>
    <w:p w:rsidR="007506A6" w:rsidRPr="007506A6" w:rsidRDefault="007506A6" w:rsidP="007506A6">
      <w:pPr>
        <w:spacing w:before="100" w:beforeAutospacing="1" w:after="100" w:afterAutospacing="1"/>
        <w:outlineLvl w:val="0"/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</w:pPr>
      <w:r w:rsidRPr="007506A6"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  <w:t>ALTRI SUPER SPARTACO</w:t>
      </w:r>
    </w:p>
    <w:p w:rsidR="007506A6" w:rsidRPr="007506A6" w:rsidRDefault="007506A6" w:rsidP="007506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Prima del giro del rullo, alcuni simboli SPARTACO sui rulli da 1 a 4 del set di rulli principale possono essere sostituiti da simboli SUPER SPARTACO.</w:t>
      </w:r>
    </w:p>
    <w:p w:rsidR="007506A6" w:rsidRPr="007506A6" w:rsidRDefault="007506A6" w:rsidP="007506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Il simbolo SUPER SPARTACO non può apparire sul rullo 5 del set di rulli principale.</w:t>
      </w:r>
    </w:p>
    <w:p w:rsidR="007506A6" w:rsidRPr="007506A6" w:rsidRDefault="007506A6" w:rsidP="007506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Il simbolo SUPER SPARTACO può comparire solo sul set di Rulli Super Colossali attivati tramite un Trasferimento di Jolly.</w:t>
      </w:r>
    </w:p>
    <w:p w:rsidR="007506A6" w:rsidRPr="007506A6" w:rsidRDefault="007506A6" w:rsidP="007506A6">
      <w:pPr>
        <w:numPr>
          <w:ilvl w:val="0"/>
          <w:numId w:val="1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r w:rsidRPr="007506A6">
        <w:rPr>
          <w:rFonts w:ascii="Arial" w:eastAsia="Times New Roman" w:hAnsi="Arial" w:cs="Arial"/>
          <w:b/>
          <w:bCs/>
          <w:sz w:val="36"/>
          <w:szCs w:val="36"/>
          <w:lang w:val="en-US"/>
        </w:rPr>
        <w:t>NUOVO GIRO CON JOLLY SUPER SPARTACO</w:t>
      </w:r>
    </w:p>
    <w:p w:rsidR="007506A6" w:rsidRPr="007506A6" w:rsidRDefault="007506A6" w:rsidP="007506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Ogni volta che si verifica un Trasferimento di Jolly a SUPER SPARTACO, viene assegnato un nuovo giro.</w:t>
      </w:r>
    </w:p>
    <w:p w:rsidR="007506A6" w:rsidRPr="007506A6" w:rsidRDefault="007506A6" w:rsidP="007506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Viene valutato il giro iniziale e i simboli SUPER SPARTACO diventano simboli SPARTACO e vengono mantenuti in posizione per un nuovo giro. Quindi, viene avviato il nuovo giro.</w:t>
      </w:r>
    </w:p>
    <w:p w:rsidR="007506A6" w:rsidRPr="007506A6" w:rsidRDefault="007506A6" w:rsidP="007506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Se nel nuovo giro appaiono ulteriori pile di simboli SUPER SPARTACO, viene assegnato un nuovo giro aggiuntivo.</w:t>
      </w:r>
    </w:p>
    <w:p w:rsidR="007506A6" w:rsidRPr="007506A6" w:rsidRDefault="007506A6" w:rsidP="007506A6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Il numero massimo di nuovi giri consecutivi consentito è 9.</w:t>
      </w:r>
    </w:p>
    <w:p w:rsidR="007506A6" w:rsidRPr="007506A6" w:rsidRDefault="007506A6" w:rsidP="007506A6">
      <w:pPr>
        <w:spacing w:before="100" w:beforeAutospacing="1" w:after="100" w:afterAutospacing="1"/>
        <w:outlineLvl w:val="0"/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</w:pPr>
      <w:r w:rsidRPr="007506A6"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  <w:t>MEGA JOLLY</w:t>
      </w:r>
    </w:p>
    <w:p w:rsidR="007506A6" w:rsidRPr="007506A6" w:rsidRDefault="007506A6" w:rsidP="007506A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 Mega Jolly sono simboli SPARTACO o SUPER SPARTACO di grandi dimensioni larghi quanto 2 rulli.</w:t>
      </w:r>
    </w:p>
    <w:p w:rsidR="007506A6" w:rsidRPr="007506A6" w:rsidRDefault="007506A6" w:rsidP="007506A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lastRenderedPageBreak/>
        <w:t>Prima del giro del rullo, i simboli Mega Jolly possono ruotare su 2 rulli adiacenti sui rulli da 1 a 4 del set di rulli principale.</w:t>
      </w:r>
    </w:p>
    <w:p w:rsidR="007506A6" w:rsidRPr="007506A6" w:rsidRDefault="007506A6" w:rsidP="007506A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È possibile ottenere una sola pila di Mega Jolly per ogni giro.</w:t>
      </w:r>
    </w:p>
    <w:p w:rsidR="007506A6" w:rsidRPr="007506A6" w:rsidRDefault="007506A6" w:rsidP="007506A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Per i Mega Jolly si applicano le stesse regole dei Jolly normali relative a trasferimenti e nuovi giri.</w:t>
      </w:r>
    </w:p>
    <w:p w:rsidR="007506A6" w:rsidRPr="007506A6" w:rsidRDefault="007506A6" w:rsidP="007506A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 simboli Mega Jolly Dorati e SUPER SPARTACO non possono apparire nello stesso giro sul set di rulli principale.</w:t>
      </w:r>
    </w:p>
    <w:p w:rsidR="007506A6" w:rsidRPr="007506A6" w:rsidRDefault="007506A6" w:rsidP="007506A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 simboli Mega Jolly Blu e SUPER SPARTACO non possono apparire nello stesso giro sul set di rulli principale.</w:t>
      </w:r>
    </w:p>
    <w:p w:rsidR="007506A6" w:rsidRPr="007506A6" w:rsidRDefault="007506A6" w:rsidP="007506A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Nel gioco base, se una combinazione di simboli Mega Jolly Dorati e SPARTACO copre un intero rullo del set di rulli principale, un intero rullo di simboli SPARTACO viene trasferito al rullo corrispondente sul set di Rulli Super Colossali.</w:t>
      </w:r>
    </w:p>
    <w:p w:rsidR="007506A6" w:rsidRPr="007506A6" w:rsidRDefault="007506A6" w:rsidP="007506A6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Nei Giri Gratis, i simboli Mega Jolly Dorati e SPARTACO non possono apparire nello stesso giro sul set di rulli principale.</w:t>
      </w:r>
    </w:p>
    <w:p w:rsidR="007506A6" w:rsidRPr="007506A6" w:rsidRDefault="007506A6" w:rsidP="007506A6">
      <w:pPr>
        <w:spacing w:before="100" w:beforeAutospacing="1" w:after="100" w:afterAutospacing="1"/>
        <w:outlineLvl w:val="0"/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</w:pPr>
      <w:r w:rsidRPr="007506A6"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  <w:t>TRASFERIMENTI DI JOLLY</w:t>
      </w:r>
    </w:p>
    <w:p w:rsidR="007506A6" w:rsidRPr="007506A6" w:rsidRDefault="007506A6" w:rsidP="007506A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Se un intero rullo di simboli SPARTACO o SUPER SPARTACO compare sul set di rulli principale, un intero rullo con lo stesso simbolo viene trasferito al rullo corrispondente sul set di Rulli Super Colossali.</w:t>
      </w:r>
    </w:p>
    <w:p w:rsidR="007506A6" w:rsidRPr="007506A6" w:rsidRDefault="007506A6" w:rsidP="007506A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 Trasferimenti di Jolly non si applicano ai moltiplicatori Jolly.</w:t>
      </w:r>
    </w:p>
    <w:p w:rsidR="007506A6" w:rsidRPr="007506A6" w:rsidRDefault="007506A6" w:rsidP="007506A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Qualsiasi Trasferimento di Jolly che copre un simbolo COLOSSEO crea un simbolo COLOSSEO/JOLLY.</w:t>
      </w:r>
    </w:p>
    <w:p w:rsidR="007506A6" w:rsidRPr="007506A6" w:rsidRDefault="007506A6" w:rsidP="007506A6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Il simbolo COLOSSEO/JOLLY si comporta come un simbolo JOLLY e un simbolo COLOSSEO.</w:t>
      </w:r>
    </w:p>
    <w:p w:rsidR="007506A6" w:rsidRPr="007506A6" w:rsidRDefault="007506A6" w:rsidP="007506A6">
      <w:pPr>
        <w:spacing w:before="100" w:beforeAutospacing="1" w:after="100" w:afterAutospacing="1"/>
        <w:outlineLvl w:val="0"/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</w:pPr>
      <w:r w:rsidRPr="007506A6"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  <w:t>BONUS GIRI GRATIS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3 o più simboli scatter COLOSSEO attivano il Bonus Giri Gratis. Il simbolo COLOSSEO compare solo sui rulli 1, 3 e 5 di ogni set di rulli.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3 simboli COLOSSEO assegnano 8 giri gratis e 2 volte la scommessa totale.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4 simboli COLOSSEO assegnano 12 giri gratis e 5 volte la scommessa totale.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5 o 6 simboli COLOSSEO assegnano 20 giri gratis e 20 volte la scommessa totale.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Le combinazioni vincenti sono identiche a quelle del gioco di base.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 simboli 50x e 100x sono disponibili solo nei Giri Gratis.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50x e 100x sono JOLLY per tutti i simboli, ad eccezione del simbolo COLOSSEO, e pagano rispettivamente 50x e 100x quando compaiono in una combinazione vincente.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 Giri Gratuiti possono essere riattivati massimo 10 volte.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Nei Giri Gratis, qualsiasi Jolly che compare su un rullo riempie le posizioni rimanenti sul rullo con i simboli Jolly corrispondenti e avvia un Trasferimento di Jolly.</w:t>
      </w:r>
    </w:p>
    <w:p w:rsidR="007506A6" w:rsidRPr="007506A6" w:rsidRDefault="007506A6" w:rsidP="007506A6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lastRenderedPageBreak/>
        <w:t>Qualsiasi simbolo COLOSSEO visibile coperto dai Jolly diventa un simbolo COLOSSEO/JOLLY.</w:t>
      </w:r>
    </w:p>
    <w:p w:rsidR="007506A6" w:rsidRPr="007506A6" w:rsidRDefault="007506A6" w:rsidP="007506A6">
      <w:pPr>
        <w:spacing w:before="100" w:beforeAutospacing="1" w:after="100" w:afterAutospacing="1"/>
        <w:outlineLvl w:val="0"/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</w:pPr>
      <w:r w:rsidRPr="007506A6"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  <w:t>REGOLE DEL GIOCO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Gioca su 100 linee.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Viene pagata solo la vincita maggiore per ogni combinazione vincente.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Tutte le vincite di linea vengono moltiplicate per il moltiplicatore scommessa.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Le vincite di linea devono apparire su rulli adiacenti, a partire dal rullo posto all'estrema sinistra.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Le vincite realizzate su tutte le linee giocate vengono aggiunte alla vincita totale.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Il gioco mostra la puntata su 5 linee.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Ogni set di rulli utilizza un set di rulli unico.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Le vincite scatter sono pagate in aggiunta alle vincite di linea.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Viene pagata solo la vincita scatter più alta in ogni partita.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Le vincite Scatter vengono assegnate in base ai simboli che compaiono ovunque sui rulli per un numero qualsiasi di linee giocate e vengono pagate in aggiunta alle vincite della linea.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Ogni set di rulli viene valutato in modo indipendente.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Tutte le vincite vengono pagate in crediti.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Qualsiasi combinazione di vincite in un'unica partita è limitata e non potrà superare € 250.000,00. Potrebbe non essere possibile raggiungere tale limite in un'unica partita con ogni configurazione di puntata.</w:t>
      </w:r>
    </w:p>
    <w:p w:rsidR="007506A6" w:rsidRPr="007506A6" w:rsidRDefault="007506A6" w:rsidP="007506A6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Eventuali malfunzionamenti annullano tutte le vincite e le giocate.</w:t>
      </w:r>
    </w:p>
    <w:p w:rsidR="007506A6" w:rsidRPr="007506A6" w:rsidRDefault="007506A6" w:rsidP="007506A6">
      <w:pPr>
        <w:spacing w:before="100" w:beforeAutospacing="1" w:after="100" w:afterAutospacing="1"/>
        <w:outlineLvl w:val="0"/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</w:pPr>
      <w:r w:rsidRPr="007506A6">
        <w:rPr>
          <w:rFonts w:ascii="Myriad Bold" w:eastAsia="Times New Roman" w:hAnsi="Myriad Bold" w:cs="Times New Roman"/>
          <w:b/>
          <w:bCs/>
          <w:kern w:val="36"/>
          <w:sz w:val="45"/>
          <w:szCs w:val="45"/>
        </w:rPr>
        <w:t>Esclusioni di responsabilità della pagina di assistenza HTML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506A6">
        <w:rPr>
          <w:rFonts w:ascii="Arial" w:eastAsia="Times New Roman" w:hAnsi="Arial" w:cs="Arial"/>
          <w:b/>
          <w:bCs/>
          <w:sz w:val="36"/>
          <w:szCs w:val="36"/>
        </w:rPr>
        <w:t>DISCLAIMER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Conformemente alle corrette pratiche di gioco, il risultato di ogni partita è completamente indipendente.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Le possibilità di ottenere uno specifico risultato sono sempre le stesse all'inizio di ogni partita.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È necessaria una connessione a Internet stabile.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In caso di disconnessione, riavviare il gioco per completare le transazioni in sospeso.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Tutti i premi mostrati sono per simbolo e per linea di vincita.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I Giri Gratuiti utilizzano la stessa carta premio che ha attivato la funzione Giri Gratuiti del giro del gioco di base.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7506A6">
        <w:rPr>
          <w:rFonts w:ascii="Arial" w:eastAsia="Times New Roman" w:hAnsi="Arial" w:cs="Arial"/>
          <w:b/>
          <w:bCs/>
          <w:sz w:val="36"/>
          <w:szCs w:val="36"/>
        </w:rPr>
        <w:t>COME SI GIOCA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Seleziona la tua puntata.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Per modificare la PUNTATA, usa i pulsanti '+' e '-' per aumentare o ridurre l'importo della puntata.</w:t>
      </w:r>
    </w:p>
    <w:p w:rsidR="007506A6" w:rsidRPr="007506A6" w:rsidRDefault="007506A6" w:rsidP="007506A6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lastRenderedPageBreak/>
        <w:t>Premi il pulsante GIRA per iniziare il gioco.</w:t>
      </w:r>
    </w:p>
    <w:p w:rsidR="007506A6" w:rsidRPr="007506A6" w:rsidRDefault="007506A6" w:rsidP="007506A6">
      <w:pPr>
        <w:spacing w:before="100" w:beforeAutospacing="1" w:after="100" w:afterAutospacing="1"/>
        <w:outlineLvl w:val="2"/>
        <w:rPr>
          <w:rFonts w:ascii="Myriad Bold" w:eastAsia="Times New Roman" w:hAnsi="Myriad Bold" w:cs="Times New Roman"/>
          <w:b/>
          <w:bCs/>
          <w:sz w:val="45"/>
          <w:szCs w:val="45"/>
        </w:rPr>
      </w:pPr>
      <w:r w:rsidRPr="007506A6">
        <w:rPr>
          <w:rFonts w:ascii="Myriad Bold" w:eastAsia="Times New Roman" w:hAnsi="Myriad Bold" w:cs="Times New Roman"/>
          <w:b/>
          <w:bCs/>
          <w:sz w:val="45"/>
          <w:szCs w:val="45"/>
        </w:rPr>
        <w:t>NOTE LEGALI</w:t>
      </w:r>
    </w:p>
    <w:p w:rsidR="007506A6" w:rsidRPr="007506A6" w:rsidRDefault="007506A6" w:rsidP="007506A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Conformemente alle corrette pratiche di gioco, il risultato di ogni partita è completamente indipendente.</w:t>
      </w:r>
    </w:p>
    <w:p w:rsidR="007506A6" w:rsidRPr="007506A6" w:rsidRDefault="007506A6" w:rsidP="007506A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L'aspetto e la sensazione del gioco e dei suoi componenti e delle sue visualizzazioni individuali sono segni distintivi di Scientific Games Corp. e delle sue sussidiarie. TM e © 2019, 2021 Scientific Games Corp. e sue sussidiarie. Tutti i diritti riservati.</w:t>
      </w:r>
    </w:p>
    <w:p w:rsidR="007506A6" w:rsidRPr="007506A6" w:rsidRDefault="007506A6" w:rsidP="007506A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TM and © 2019, 2021 Scientific Games Corp. and its Subsidiaries. All rights reserved.</w:t>
      </w:r>
    </w:p>
    <w:p w:rsidR="007506A6" w:rsidRPr="007506A6" w:rsidRDefault="007506A6" w:rsidP="007506A6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sz w:val="23"/>
          <w:szCs w:val="23"/>
        </w:rPr>
      </w:pPr>
      <w:r w:rsidRPr="007506A6">
        <w:rPr>
          <w:rFonts w:ascii="Arial" w:eastAsia="Times New Roman" w:hAnsi="Arial" w:cs="Arial"/>
          <w:sz w:val="23"/>
          <w:szCs w:val="23"/>
        </w:rPr>
        <w:t>Per questo gioco, il rendimento atteso è 96.76%. Ciò riflette il rendimento teorico su diverse partite.</w:t>
      </w:r>
    </w:p>
    <w:p w:rsidR="00C2285A" w:rsidRPr="007506A6" w:rsidRDefault="00C2285A" w:rsidP="00C2285A">
      <w:pPr>
        <w:spacing w:before="100" w:beforeAutospacing="1" w:after="100" w:afterAutospacing="1"/>
        <w:outlineLvl w:val="0"/>
        <w:rPr>
          <w:rFonts w:ascii="Myriad Bold" w:eastAsia="Times New Roman" w:hAnsi="Myriad Bold" w:cs="Times New Roman"/>
          <w:b/>
          <w:bCs/>
          <w:color w:val="FFFFFF"/>
          <w:kern w:val="36"/>
          <w:sz w:val="45"/>
          <w:szCs w:val="45"/>
        </w:rPr>
      </w:pPr>
      <w:bookmarkStart w:id="0" w:name="_GoBack"/>
      <w:bookmarkEnd w:id="0"/>
    </w:p>
    <w:sectPr w:rsidR="00C2285A" w:rsidRPr="007506A6" w:rsidSect="00EB31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 Bol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3B10"/>
    <w:multiLevelType w:val="multilevel"/>
    <w:tmpl w:val="08A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D1172"/>
    <w:multiLevelType w:val="multilevel"/>
    <w:tmpl w:val="F4E6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38742E"/>
    <w:multiLevelType w:val="multilevel"/>
    <w:tmpl w:val="CB90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C1157"/>
    <w:multiLevelType w:val="multilevel"/>
    <w:tmpl w:val="D91C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41A66"/>
    <w:multiLevelType w:val="multilevel"/>
    <w:tmpl w:val="E1340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B11725"/>
    <w:multiLevelType w:val="multilevel"/>
    <w:tmpl w:val="2944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1938DC"/>
    <w:multiLevelType w:val="multilevel"/>
    <w:tmpl w:val="FB84B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E0"/>
    <w:rsid w:val="000E0398"/>
    <w:rsid w:val="001E573F"/>
    <w:rsid w:val="00254A38"/>
    <w:rsid w:val="002F5DE0"/>
    <w:rsid w:val="00512EA9"/>
    <w:rsid w:val="00571EC2"/>
    <w:rsid w:val="00654108"/>
    <w:rsid w:val="007506A6"/>
    <w:rsid w:val="00761D82"/>
    <w:rsid w:val="00800072"/>
    <w:rsid w:val="00AE0987"/>
    <w:rsid w:val="00B74DBB"/>
    <w:rsid w:val="00BA0C5D"/>
    <w:rsid w:val="00BA3B57"/>
    <w:rsid w:val="00BA60AC"/>
    <w:rsid w:val="00C2285A"/>
    <w:rsid w:val="00D7457A"/>
    <w:rsid w:val="00DE2E1D"/>
    <w:rsid w:val="00E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90AE2A"/>
  <w15:chartTrackingRefBased/>
  <w15:docId w15:val="{1D5BAD41-B8FE-274F-A92C-369157D0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DE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5D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F5D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D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5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F5DE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s-locale-text">
    <w:name w:val="rs-locale-text"/>
    <w:basedOn w:val="DefaultParagraphFont"/>
    <w:rsid w:val="002F5DE0"/>
  </w:style>
  <w:style w:type="character" w:customStyle="1" w:styleId="rs-variable-maxwin">
    <w:name w:val="rs-variable-maxwin"/>
    <w:basedOn w:val="DefaultParagraphFont"/>
    <w:rsid w:val="002F5DE0"/>
  </w:style>
  <w:style w:type="paragraph" w:customStyle="1" w:styleId="rs-notnt">
    <w:name w:val="rs-notnt"/>
    <w:basedOn w:val="Normal"/>
    <w:rsid w:val="002F5D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s-variable-cryear">
    <w:name w:val="rs-variable-cryear"/>
    <w:basedOn w:val="DefaultParagraphFont"/>
    <w:rsid w:val="002F5DE0"/>
  </w:style>
  <w:style w:type="character" w:customStyle="1" w:styleId="rs-variable-rtp">
    <w:name w:val="rs-variable-rtp"/>
    <w:basedOn w:val="DefaultParagraphFont"/>
    <w:rsid w:val="002F5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5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de Bollivier</dc:creator>
  <cp:keywords/>
  <dc:description/>
  <cp:lastModifiedBy>Stéphanie de Bollivier</cp:lastModifiedBy>
  <cp:revision>2</cp:revision>
  <dcterms:created xsi:type="dcterms:W3CDTF">2021-03-17T15:47:00Z</dcterms:created>
  <dcterms:modified xsi:type="dcterms:W3CDTF">2021-03-17T15:47:00Z</dcterms:modified>
</cp:coreProperties>
</file>